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18" w:rsidRDefault="00F61C18"/>
    <w:p w:rsidR="00486EE4" w:rsidRPr="007746B4" w:rsidRDefault="007746B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Allegato 4</w:t>
      </w:r>
      <w:r w:rsidR="00486EE4" w:rsidRPr="007746B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7746B4">
        <w:rPr>
          <w:rFonts w:ascii="Times New Roman" w:hAnsi="Times New Roman" w:cs="Times New Roman"/>
          <w:i/>
          <w:sz w:val="28"/>
          <w:szCs w:val="28"/>
        </w:rPr>
        <w:t>Aggiorname</w:t>
      </w:r>
      <w:bookmarkStart w:id="0" w:name="_GoBack"/>
      <w:bookmarkEnd w:id="0"/>
      <w:r w:rsidRPr="007746B4">
        <w:rPr>
          <w:rFonts w:ascii="Times New Roman" w:hAnsi="Times New Roman" w:cs="Times New Roman"/>
          <w:i/>
          <w:sz w:val="28"/>
          <w:szCs w:val="28"/>
        </w:rPr>
        <w:t xml:space="preserve">nto </w:t>
      </w:r>
      <w:r w:rsidR="00486EE4" w:rsidRPr="007746B4">
        <w:rPr>
          <w:rFonts w:ascii="Times New Roman" w:hAnsi="Times New Roman" w:cs="Times New Roman"/>
          <w:i/>
          <w:sz w:val="28"/>
          <w:szCs w:val="28"/>
        </w:rPr>
        <w:t>PTPC</w:t>
      </w:r>
      <w:r w:rsidR="00B10C9F" w:rsidRPr="007746B4">
        <w:rPr>
          <w:rFonts w:ascii="Times New Roman" w:hAnsi="Times New Roman" w:cs="Times New Roman"/>
          <w:i/>
          <w:sz w:val="28"/>
          <w:szCs w:val="28"/>
        </w:rPr>
        <w:t>T</w:t>
      </w:r>
      <w:r w:rsidRPr="007746B4">
        <w:rPr>
          <w:rFonts w:ascii="Times New Roman" w:hAnsi="Times New Roman" w:cs="Times New Roman"/>
          <w:i/>
          <w:sz w:val="28"/>
          <w:szCs w:val="28"/>
        </w:rPr>
        <w:t xml:space="preserve"> 2019/21</w:t>
      </w:r>
    </w:p>
    <w:p w:rsidR="00486EE4" w:rsidRDefault="00486EE4"/>
    <w:p w:rsidR="00486EE4" w:rsidRDefault="00486EE4"/>
    <w:p w:rsidR="00D00C1D" w:rsidRDefault="00D00C1D" w:rsidP="00486EE4">
      <w:pPr>
        <w:pStyle w:val="Paragrafoelenco"/>
        <w:numPr>
          <w:ilvl w:val="0"/>
          <w:numId w:val="5"/>
        </w:numPr>
      </w:pPr>
      <w:r>
        <w:t xml:space="preserve">Tabella </w:t>
      </w:r>
      <w:r w:rsidR="00486EE4">
        <w:t xml:space="preserve">1) </w:t>
      </w:r>
      <w:r w:rsidRPr="00486EE4">
        <w:rPr>
          <w:rFonts w:ascii="Cambria" w:eastAsia="Calibri" w:hAnsi="Cambria"/>
          <w:b/>
          <w:sz w:val="18"/>
          <w:szCs w:val="18"/>
        </w:rPr>
        <w:t>CONFERIMENTO DI INCARICHI DI DOCENZA</w:t>
      </w:r>
    </w:p>
    <w:p w:rsidR="00D00C1D" w:rsidRDefault="00D00C1D"/>
    <w:tbl>
      <w:tblPr>
        <w:tblStyle w:val="Grigliatabella2"/>
        <w:tblpPr w:leftFromText="141" w:rightFromText="141" w:vertAnchor="text" w:horzAnchor="page" w:tblpXSpec="center" w:tblpY="169"/>
        <w:tblW w:w="11285" w:type="dxa"/>
        <w:tblLayout w:type="fixed"/>
        <w:tblLook w:val="04A0" w:firstRow="1" w:lastRow="0" w:firstColumn="1" w:lastColumn="0" w:noHBand="0" w:noVBand="1"/>
      </w:tblPr>
      <w:tblGrid>
        <w:gridCol w:w="1738"/>
        <w:gridCol w:w="13"/>
        <w:gridCol w:w="1458"/>
        <w:gridCol w:w="1726"/>
        <w:gridCol w:w="2426"/>
        <w:gridCol w:w="1875"/>
        <w:gridCol w:w="2049"/>
      </w:tblGrid>
      <w:tr w:rsidR="00D00C1D" w:rsidRPr="002930B9" w:rsidTr="00D00C1D">
        <w:trPr>
          <w:trHeight w:val="498"/>
        </w:trPr>
        <w:tc>
          <w:tcPr>
            <w:tcW w:w="1751" w:type="dxa"/>
            <w:gridSpan w:val="2"/>
            <w:tcBorders>
              <w:bottom w:val="single" w:sz="4" w:space="0" w:color="auto"/>
            </w:tcBorders>
          </w:tcPr>
          <w:p w:rsidR="00D00C1D" w:rsidRPr="002930B9" w:rsidRDefault="00D00C1D" w:rsidP="00CF2EAB">
            <w:pPr>
              <w:ind w:left="56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34" w:type="dxa"/>
            <w:gridSpan w:val="5"/>
            <w:tcBorders>
              <w:bottom w:val="single" w:sz="4" w:space="0" w:color="auto"/>
            </w:tcBorders>
            <w:vAlign w:val="center"/>
          </w:tcPr>
          <w:p w:rsidR="00D00C1D" w:rsidRPr="002930B9" w:rsidRDefault="00D00C1D" w:rsidP="00CF2EAB">
            <w:pPr>
              <w:rPr>
                <w:rFonts w:ascii="Cambria" w:eastAsia="Calibri" w:hAnsi="Cambria"/>
                <w:b/>
                <w:sz w:val="18"/>
                <w:szCs w:val="18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</w:rPr>
              <w:t>CONFERIMENTO DI INCARICHI DI DOCENZA</w:t>
            </w:r>
          </w:p>
        </w:tc>
      </w:tr>
      <w:tr w:rsidR="00D00C1D" w:rsidRPr="002930B9" w:rsidTr="00D00C1D">
        <w:trPr>
          <w:trHeight w:val="513"/>
        </w:trPr>
        <w:tc>
          <w:tcPr>
            <w:tcW w:w="175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PROCESSO</w:t>
            </w: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58" w:type="dxa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EVENTO RISCHIOSO</w:t>
            </w:r>
          </w:p>
        </w:tc>
        <w:tc>
          <w:tcPr>
            <w:tcW w:w="1726" w:type="dxa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FASI /AZIONI</w:t>
            </w:r>
          </w:p>
        </w:tc>
        <w:tc>
          <w:tcPr>
            <w:tcW w:w="6350" w:type="dxa"/>
            <w:gridSpan w:val="3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SCHEMA EVENTI RISCHIOSI</w:t>
            </w:r>
          </w:p>
        </w:tc>
      </w:tr>
      <w:tr w:rsidR="00D00C1D" w:rsidRPr="002930B9" w:rsidTr="00D00C1D">
        <w:trPr>
          <w:trHeight w:val="754"/>
        </w:trPr>
        <w:tc>
          <w:tcPr>
            <w:tcW w:w="1751" w:type="dxa"/>
            <w:gridSpan w:val="2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58" w:type="dxa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MODALITA’ DI COMPORTAMENTO (COME)</w:t>
            </w:r>
          </w:p>
        </w:tc>
        <w:tc>
          <w:tcPr>
            <w:tcW w:w="1875" w:type="dxa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PERIMETRO EVENTO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(DOVE)</w:t>
            </w:r>
          </w:p>
        </w:tc>
        <w:tc>
          <w:tcPr>
            <w:tcW w:w="2049" w:type="dxa"/>
            <w:shd w:val="clear" w:color="auto" w:fill="92CDDC" w:themeFill="accent5" w:themeFillTint="99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FATTORI ABILITANTI: CONSIZIONI INDIVIDUALI, ORGANIZZATIVE, SOCIALI E AMBIENTALI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 w:val="restart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</w:pPr>
            <w:r w:rsidRPr="002930B9"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  <w:t xml:space="preserve">CONFERIMENTO DI INCARICHI DI DOCENZA </w:t>
            </w:r>
          </w:p>
          <w:p w:rsidR="00D00C1D" w:rsidRPr="002930B9" w:rsidRDefault="00D00C1D" w:rsidP="00CF2EAB">
            <w:pPr>
              <w:jc w:val="center"/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(chiamate per competenze ex art. 1 comma 79 e </w:t>
            </w:r>
            <w:proofErr w:type="spellStart"/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ss</w:t>
            </w:r>
            <w:proofErr w:type="spellEnd"/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legge 107/2015)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ATTRIBUZIONE DEGLI INCARICHI NON COERENTI CON IL FABBISOGNO FORMATIVO AL FINE DI FAVORIRE DETERMINATI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DOCENTI</w:t>
            </w: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Quantificazione e Identificazione dei Posti disponibili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di posti di insegnamento non coerenti con offerta formativa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Interno/estero</w:t>
            </w:r>
          </w:p>
          <w:p w:rsidR="00D00C1D" w:rsidRPr="002930B9" w:rsidRDefault="00D00C1D" w:rsidP="00CF2EAB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 e Ufficio scolastico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Delibera del Collegio dei docenti in merito ai requisiti in base ai quali effettuare l’esame comparativo delle candidature</w:t>
            </w:r>
          </w:p>
          <w:p w:rsidR="00D00C1D" w:rsidRPr="002930B9" w:rsidRDefault="00D00C1D" w:rsidP="00CF2EAB">
            <w:pPr>
              <w:ind w:firstLine="709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requisiti non coerenti con il P.T.O.F.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Collegio dei docenti e D.S.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criteri da parte del DS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Predisposizione di criteri/bando con modalità incoerenti con la norma e favorevoli rispetto a scelta preordinata/  prestabilita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Inadeguata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diffusione della cultura della legalità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Pubblicazione avvisi 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Pubblicazione in area poco visibile difficile da raggiungere nel sito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Presentazione delle candidature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Dichiarazioni mendaci o non verificabili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Esterno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Docenti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controlli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Comparazione candidature e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Proposta di incarico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dei destinatari della proposta non coerente con i criteri previsti dal bando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Inadeguata diffusione della cultura della legalità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Accettazione incarico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Esterno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docenti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Conferimento d’incarico e sottoscrizione contratto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</w:tbl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4743FB" w:rsidRDefault="00D00C1D" w:rsidP="00D00C1D">
      <w:pPr>
        <w:pStyle w:val="Paragrafoelenco"/>
        <w:numPr>
          <w:ilvl w:val="0"/>
          <w:numId w:val="4"/>
        </w:numPr>
      </w:pPr>
      <w:r>
        <w:t>Tabella</w:t>
      </w:r>
      <w:r w:rsidR="00486EE4">
        <w:t xml:space="preserve"> 2)</w:t>
      </w:r>
      <w:r>
        <w:t xml:space="preserve"> </w:t>
      </w:r>
      <w:r w:rsidR="004743FB" w:rsidRPr="00486EE4">
        <w:rPr>
          <w:rFonts w:ascii="Cambria" w:eastAsia="Calibri" w:hAnsi="Cambria"/>
          <w:b/>
          <w:sz w:val="20"/>
          <w:szCs w:val="20"/>
        </w:rPr>
        <w:t>SVILUPPO E VALORIZZAZIONE RISORSE UMANE</w:t>
      </w:r>
    </w:p>
    <w:tbl>
      <w:tblPr>
        <w:tblStyle w:val="Grigliatabella2"/>
        <w:tblpPr w:leftFromText="141" w:rightFromText="141" w:vertAnchor="text" w:horzAnchor="margin" w:tblpXSpec="right" w:tblpY="349"/>
        <w:tblW w:w="11013" w:type="dxa"/>
        <w:tblLayout w:type="fixed"/>
        <w:tblLook w:val="04A0" w:firstRow="1" w:lastRow="0" w:firstColumn="1" w:lastColumn="0" w:noHBand="0" w:noVBand="1"/>
      </w:tblPr>
      <w:tblGrid>
        <w:gridCol w:w="1821"/>
        <w:gridCol w:w="13"/>
        <w:gridCol w:w="1719"/>
        <w:gridCol w:w="1616"/>
        <w:gridCol w:w="2541"/>
        <w:gridCol w:w="1612"/>
        <w:gridCol w:w="1691"/>
      </w:tblGrid>
      <w:tr w:rsidR="004743FB" w:rsidRPr="00514630" w:rsidTr="00CF2EAB">
        <w:trPr>
          <w:trHeight w:val="471"/>
        </w:trPr>
        <w:tc>
          <w:tcPr>
            <w:tcW w:w="1834" w:type="dxa"/>
            <w:gridSpan w:val="2"/>
            <w:tcBorders>
              <w:bottom w:val="single" w:sz="4" w:space="0" w:color="auto"/>
            </w:tcBorders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179" w:type="dxa"/>
            <w:gridSpan w:val="5"/>
            <w:tcBorders>
              <w:bottom w:val="single" w:sz="4" w:space="0" w:color="auto"/>
            </w:tcBorders>
            <w:vAlign w:val="center"/>
          </w:tcPr>
          <w:p w:rsidR="004743FB" w:rsidRPr="00514630" w:rsidRDefault="004743FB" w:rsidP="00CF2EAB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>
              <w:rPr>
                <w:rFonts w:ascii="Cambria" w:eastAsia="Calibri" w:hAnsi="Cambria"/>
                <w:b/>
              </w:rPr>
              <w:t xml:space="preserve">   </w:t>
            </w:r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SVILUPPO E VALORIZZAZIONE RISORSE UMANE</w:t>
            </w:r>
          </w:p>
        </w:tc>
      </w:tr>
      <w:tr w:rsidR="004743FB" w:rsidRPr="00514630" w:rsidTr="00CF2EAB">
        <w:trPr>
          <w:trHeight w:val="484"/>
        </w:trPr>
        <w:tc>
          <w:tcPr>
            <w:tcW w:w="1834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PROCESSO</w:t>
            </w: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19" w:type="dxa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EVENTO RISCHIOSO</w:t>
            </w:r>
          </w:p>
        </w:tc>
        <w:tc>
          <w:tcPr>
            <w:tcW w:w="1616" w:type="dxa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FASI /AZIONI</w:t>
            </w:r>
          </w:p>
        </w:tc>
        <w:tc>
          <w:tcPr>
            <w:tcW w:w="5844" w:type="dxa"/>
            <w:gridSpan w:val="3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SCHEMA EVENTI RISCHIOSI</w:t>
            </w:r>
          </w:p>
        </w:tc>
      </w:tr>
      <w:tr w:rsidR="004743FB" w:rsidRPr="00514630" w:rsidTr="00CF2EAB">
        <w:trPr>
          <w:trHeight w:val="713"/>
        </w:trPr>
        <w:tc>
          <w:tcPr>
            <w:tcW w:w="1834" w:type="dxa"/>
            <w:gridSpan w:val="2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19" w:type="dxa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MODALITA’ DI COMPORTAMENTO (COME)</w:t>
            </w:r>
          </w:p>
        </w:tc>
        <w:tc>
          <w:tcPr>
            <w:tcW w:w="1612" w:type="dxa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PERIMETRO EVENTO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 SOGGETTI COINVOLTI (DOVE-CHI)</w:t>
            </w:r>
          </w:p>
        </w:tc>
        <w:tc>
          <w:tcPr>
            <w:tcW w:w="1691" w:type="dxa"/>
            <w:shd w:val="clear" w:color="auto" w:fill="92CDDC" w:themeFill="accent5" w:themeFillTint="99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FATTORI ABILITANTI: CONSIZIONI INDIVIDUALI , ORGANIZZATIVE, SOCIALI E AMBIENTALI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 w:val="restart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131"/>
              <w:contextualSpacing/>
              <w:rPr>
                <w:rFonts w:ascii="Cambria" w:eastAsia="Calibri" w:hAnsi="Cambria"/>
                <w:b/>
                <w:sz w:val="20"/>
                <w:szCs w:val="20"/>
                <w:u w:val="single"/>
              </w:rPr>
            </w:pPr>
            <w:r w:rsidRPr="00514630">
              <w:rPr>
                <w:rFonts w:ascii="Cambria" w:eastAsia="Calibri" w:hAnsi="Cambria"/>
                <w:b/>
                <w:sz w:val="20"/>
                <w:szCs w:val="20"/>
                <w:u w:val="single"/>
              </w:rPr>
              <w:t>VALUTAZIONE E INCENTIVAZIONE DEI DOCENTI</w:t>
            </w:r>
          </w:p>
          <w:p w:rsidR="004743FB" w:rsidRPr="00514630" w:rsidRDefault="004743FB" w:rsidP="00CF2EAB">
            <w:pPr>
              <w:ind w:left="131"/>
              <w:contextualSpacing/>
              <w:rPr>
                <w:rFonts w:ascii="Cambria" w:eastAsia="Calibri" w:hAnsi="Cambria"/>
                <w:b/>
                <w:sz w:val="20"/>
                <w:szCs w:val="20"/>
                <w:u w:val="single"/>
              </w:rPr>
            </w:pPr>
            <w:r w:rsidRPr="00514630">
              <w:rPr>
                <w:rFonts w:ascii="Cambria" w:eastAsia="Calibri" w:hAnsi="Cambria"/>
                <w:b/>
                <w:sz w:val="20"/>
                <w:szCs w:val="20"/>
                <w:u w:val="single"/>
              </w:rPr>
              <w:t>(</w:t>
            </w:r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 xml:space="preserve">Bonus </w:t>
            </w:r>
            <w:proofErr w:type="spellStart"/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Premialità</w:t>
            </w:r>
            <w:proofErr w:type="spellEnd"/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)</w:t>
            </w:r>
          </w:p>
          <w:p w:rsidR="004743FB" w:rsidRPr="00514630" w:rsidRDefault="004743FB" w:rsidP="00CF2EAB">
            <w:pPr>
              <w:contextualSpacing/>
              <w:rPr>
                <w:rFonts w:ascii="Cambria" w:eastAsia="Calibri" w:hAnsi="Cambria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 w:val="restart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FAVORIRE/ PENALIZZARE NELL’ATTRIBUZIONE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DEL BONUS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DOCENTI DETERMINATI IN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CONTRASTO CON LA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lastRenderedPageBreak/>
              <w:t>FINALITA’ DI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VALORIZZAZIONE DEL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MERITO</w:t>
            </w:r>
          </w:p>
        </w:tc>
        <w:tc>
          <w:tcPr>
            <w:tcW w:w="1616" w:type="dxa"/>
          </w:tcPr>
          <w:p w:rsidR="004743FB" w:rsidRPr="00514630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Costituzione/Nomina Comitato di valutazione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 – Esterno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Collegio dei Docenti Consiglio D’istituto  D.S</w:t>
            </w: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11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Individuazione/Definizione di criteri di valutazione per la valorizzazione dei docenti ai sensi dell’art. 1, comma 129, legge n. 107/15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>Definizione di criteri poco chiari/poco oggettivi/opinabili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>Individuazione di criteri  in contrasto con la finalità di valorizzazione del merito e che tendano a favorire/penalizzare docenti determinati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 xml:space="preserve">Mancanza di un 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lastRenderedPageBreak/>
              <w:t>format fruibile da tutti i docenti per poter annotare e comunicare al dirigente le attività svolte e valutabili alla luce dei criteri scelti dal Comitato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Interno/esterno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Fase che coinvolge docenti, dirigenti ed eventualmente componenti esterni (comitato di valutazione)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dell’avviso con i criteri di valutazione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in area poco visibile o difficile da raggiungere nel sito.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Termine eccessivamente limitato per la presentazione delle candidature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Dirigente scolastico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Presentazione  domande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Dichiarazioni mendaci o non verificabili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Interno/esterno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Docenti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controlli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Applicazione criteri da parte del DS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Attribuzione del bonus per la valorizzazione del merito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color w:val="FF0000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18" w:right="58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18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Mancata applicazione dei criteri definiti dal Comitato al fine di favorire/penalizzare docenti determinati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D.S.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inadeguata diffusione della cultura della legalità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 (motivazione)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dati aggregati</w:t>
            </w:r>
          </w:p>
        </w:tc>
        <w:tc>
          <w:tcPr>
            <w:tcW w:w="2541" w:type="dxa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in area poco visibile difficile da raggiungere nel sito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</w:tbl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4743FB" w:rsidRDefault="004743FB" w:rsidP="00486EE4">
      <w:pPr>
        <w:pStyle w:val="Paragrafoelenco"/>
        <w:numPr>
          <w:ilvl w:val="0"/>
          <w:numId w:val="3"/>
        </w:numPr>
      </w:pPr>
      <w:r>
        <w:t xml:space="preserve">Tabella 3) </w:t>
      </w:r>
      <w:r w:rsidR="00486EE4" w:rsidRPr="00486EE4">
        <w:rPr>
          <w:rFonts w:ascii="Cambria" w:eastAsia="Calibri" w:hAnsi="Cambria"/>
          <w:b/>
          <w:sz w:val="18"/>
          <w:szCs w:val="18"/>
        </w:rPr>
        <w:t>PROCEDURE DI ACQUISIZIONE DI BENI E SERVIZI</w:t>
      </w:r>
    </w:p>
    <w:tbl>
      <w:tblPr>
        <w:tblStyle w:val="Grigliatabella2"/>
        <w:tblW w:w="14739" w:type="dxa"/>
        <w:jc w:val="center"/>
        <w:tblLayout w:type="fixed"/>
        <w:tblLook w:val="04A0" w:firstRow="1" w:lastRow="0" w:firstColumn="1" w:lastColumn="0" w:noHBand="0" w:noVBand="1"/>
      </w:tblPr>
      <w:tblGrid>
        <w:gridCol w:w="2692"/>
        <w:gridCol w:w="1527"/>
        <w:gridCol w:w="2126"/>
        <w:gridCol w:w="2466"/>
        <w:gridCol w:w="2126"/>
        <w:gridCol w:w="3802"/>
      </w:tblGrid>
      <w:tr w:rsidR="00486EE4" w:rsidRPr="002930B9" w:rsidTr="00CF2EAB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2047" w:type="dxa"/>
            <w:gridSpan w:val="5"/>
            <w:tcBorders>
              <w:bottom w:val="single" w:sz="4" w:space="0" w:color="auto"/>
            </w:tcBorders>
            <w:vAlign w:val="center"/>
          </w:tcPr>
          <w:p w:rsidR="00486EE4" w:rsidRPr="002930B9" w:rsidRDefault="00486EE4" w:rsidP="00CF2EAB">
            <w:pPr>
              <w:rPr>
                <w:rFonts w:ascii="Cambria" w:eastAsia="Calibri" w:hAnsi="Cambria"/>
                <w:b/>
                <w:sz w:val="18"/>
                <w:szCs w:val="18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</w:rPr>
              <w:t>PROCEDURE DI ACQUISIZIONE DI BENI E SERVIZI</w:t>
            </w:r>
          </w:p>
        </w:tc>
      </w:tr>
      <w:tr w:rsidR="00486EE4" w:rsidRPr="002930B9" w:rsidTr="00CF2EAB">
        <w:trPr>
          <w:trHeight w:val="540"/>
          <w:jc w:val="center"/>
        </w:trPr>
        <w:tc>
          <w:tcPr>
            <w:tcW w:w="2692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PROCESSO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FASI /AZIONI</w:t>
            </w:r>
          </w:p>
        </w:tc>
        <w:tc>
          <w:tcPr>
            <w:tcW w:w="8394" w:type="dxa"/>
            <w:gridSpan w:val="3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SCHEMA EVENTI RISCHIOSI</w:t>
            </w:r>
          </w:p>
        </w:tc>
      </w:tr>
      <w:tr w:rsidR="00486EE4" w:rsidRPr="002930B9" w:rsidTr="00CF2EAB">
        <w:trPr>
          <w:trHeight w:val="795"/>
          <w:jc w:val="center"/>
        </w:trPr>
        <w:tc>
          <w:tcPr>
            <w:tcW w:w="2692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MODALITA’ DI COMPORTAMENTO (COME)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PERIMETRO EVENTO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(DOVE)</w:t>
            </w:r>
          </w:p>
        </w:tc>
        <w:tc>
          <w:tcPr>
            <w:tcW w:w="3802" w:type="dxa"/>
            <w:shd w:val="clear" w:color="auto" w:fill="92CDDC" w:themeFill="accent5" w:themeFillTint="99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FATTORI ABILITANTI: CONSIZIONI INDIVIDUALI , ORGANIZZATIVE, SOCIALI E AMBIENTALI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 w:val="restart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  <w:u w:val="single"/>
              </w:rPr>
            </w:pPr>
          </w:p>
          <w:p w:rsidR="00486EE4" w:rsidRPr="002930B9" w:rsidRDefault="00486EE4" w:rsidP="00CF2EAB">
            <w:pPr>
              <w:rPr>
                <w:rFonts w:ascii="Cambria" w:eastAsia="Calibri" w:hAnsi="Cambria"/>
                <w:b/>
                <w:sz w:val="18"/>
                <w:szCs w:val="18"/>
                <w:u w:val="single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  <w:u w:val="single"/>
              </w:rPr>
              <w:t>PROCEDURA DI AFFIDAMENTO DI SERVIZI E FORNITURE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ACQSUISIZIONE DEI BENI E SERVIZI NON COERENTI CON LE ESIGENZE DELLA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ISTITUZIONE SCOLASTICA O IN VIOLAZIONE DELLE PROCEDURE DI AFFIDAMENTO AL FINE DI  FAVORIRE UN DETERMIANTO OPERATORE </w:t>
            </w: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lastRenderedPageBreak/>
              <w:t>ECONOMICO</w:t>
            </w:r>
          </w:p>
        </w:tc>
        <w:tc>
          <w:tcPr>
            <w:tcW w:w="212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lastRenderedPageBreak/>
              <w:t>1)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PROGRAMMAZIONE ANNUALE O TREINNALE DELLE ATTIVITA’ NEGOZIALI ALL’INTERNO DEL PTOF O DEL PROGRAMMA ANNUALE.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Analisi 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dei fabbisogni della scuola per l’anno scolastico o per il triennio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di un fabbisogno non rispondente alle necessità effettive o ai criteri di efficienza efficacia ed economicità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Mancata individuazione nel programma annuale e nella relativa relazione degli obiettivi da realizzare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Incoerenza tra PTOF e programma annuale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Interno/esterno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Organi collegiali della scuola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</w:tcPr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2)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DETERMINA DIRIGENZIALE DI AVVIO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: in base alle delibere del </w:t>
            </w:r>
            <w:proofErr w:type="spellStart"/>
            <w:r w:rsidRPr="002930B9">
              <w:rPr>
                <w:rFonts w:ascii="Calibri" w:eastAsia="Calibri" w:hAnsi="Calibri"/>
                <w:sz w:val="18"/>
                <w:szCs w:val="18"/>
              </w:rPr>
              <w:t>CdI</w:t>
            </w:r>
            <w:proofErr w:type="spellEnd"/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e a quanto previsto dal P.A. individua motivatamente gli elementi essenziali del contratto, i criteri di selezione delle offerte; approva alcuni atti di gara (inviti, capitolato, disciplinare) individua e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nomina il  RUP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 xml:space="preserve">Previsione della procedura di acquisizione al di fuori delle Convenzioni </w:t>
            </w:r>
            <w:proofErr w:type="spellStart"/>
            <w:r w:rsidRPr="002930B9">
              <w:rPr>
                <w:rFonts w:ascii="Calibri" w:eastAsia="Calibri" w:hAnsi="Calibri"/>
                <w:sz w:val="18"/>
                <w:szCs w:val="18"/>
              </w:rPr>
              <w:t>Consip</w:t>
            </w:r>
            <w:proofErr w:type="spellEnd"/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e del Mercato elettronica senza un’adeguata motivazione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Previsione dell’affidamento diretto in violazione delle norme del Codice dei contratti.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Definizione dell’oggetto dell’affidamento mancante o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non sufficientemente determinata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o indeterminatezza delle somme disponibili per la procedura negoziale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Mancata individuazione dello strumento contrattuale da utilizzare;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4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ab/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ab/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inadeguatezza o assenza di competenze del personale addetto ai processi; 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inadeguata diffusione della cultura della legalità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3) SCELTA DEL CONTRAENTE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Istruttoria, richiesta del CIG, gestione della procedura di evidenza pubblica: la valutazione delle offerte, l’aggiudicazione delle offerte, l’aggiudicazione provvisoria e </w:t>
            </w:r>
          </w:p>
          <w:p w:rsidR="00486EE4" w:rsidRPr="002930B9" w:rsidRDefault="00486EE4" w:rsidP="00CF2EAB">
            <w:pPr>
              <w:ind w:firstLine="709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Applicazione distorta del criteri di aggiudicazione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Erronea valutazione delle offerte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Sottrazione della documentazione</w:t>
            </w: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 o Delegato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4)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DETERMINA DIRIGENZIALE DI AGGIUDICAZIONE DEFINITIVA: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>obbligo di motivazione delle scelte; efficace solo dopo verifica del possesso da parte dell’OE aggiudicatario dei requisiti prescritti;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Alterazione o omissione dei controlli dei requisiti dell’aggiudicatario</w:t>
            </w: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INTERNE</w:t>
            </w: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5)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STIPULA  ED ESECUZIONE DEL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Approvazione di modifiche sostanziali degli elementi del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INTERNO 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6) COLLAUDO    O ATTESTAZIONE REGOLARITA’                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Mancato o insufficiente controllo della conformità, dei beni e servizi acquisiti con i requisiti previsti nel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Mancata o incompleta documentazione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PERSONALE INDIVIDUATO DAL 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</w:t>
            </w:r>
          </w:p>
        </w:tc>
      </w:tr>
    </w:tbl>
    <w:p w:rsidR="00486EE4" w:rsidRDefault="00486EE4" w:rsidP="00D00C1D"/>
    <w:sectPr w:rsidR="00486EE4" w:rsidSect="00D00C1D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F8" w:rsidRDefault="001F19F8" w:rsidP="004743FB">
      <w:pPr>
        <w:spacing w:after="0" w:line="240" w:lineRule="auto"/>
      </w:pPr>
      <w:r>
        <w:separator/>
      </w:r>
    </w:p>
  </w:endnote>
  <w:endnote w:type="continuationSeparator" w:id="0">
    <w:p w:rsidR="001F19F8" w:rsidRDefault="001F19F8" w:rsidP="0047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660278"/>
      <w:docPartObj>
        <w:docPartGallery w:val="Page Numbers (Bottom of Page)"/>
        <w:docPartUnique/>
      </w:docPartObj>
    </w:sdtPr>
    <w:sdtEndPr/>
    <w:sdtContent>
      <w:p w:rsidR="004743FB" w:rsidRDefault="004743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6B4">
          <w:rPr>
            <w:noProof/>
          </w:rPr>
          <w:t>1</w:t>
        </w:r>
        <w:r>
          <w:fldChar w:fldCharType="end"/>
        </w:r>
      </w:p>
    </w:sdtContent>
  </w:sdt>
  <w:p w:rsidR="004743FB" w:rsidRDefault="00474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F8" w:rsidRDefault="001F19F8" w:rsidP="004743FB">
      <w:pPr>
        <w:spacing w:after="0" w:line="240" w:lineRule="auto"/>
      </w:pPr>
      <w:r>
        <w:separator/>
      </w:r>
    </w:p>
  </w:footnote>
  <w:footnote w:type="continuationSeparator" w:id="0">
    <w:p w:rsidR="001F19F8" w:rsidRDefault="001F19F8" w:rsidP="00474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7E4"/>
    <w:multiLevelType w:val="hybridMultilevel"/>
    <w:tmpl w:val="AEEE8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90664"/>
    <w:multiLevelType w:val="hybridMultilevel"/>
    <w:tmpl w:val="933E5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B0385"/>
    <w:multiLevelType w:val="hybridMultilevel"/>
    <w:tmpl w:val="75E4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BB"/>
    <w:rsid w:val="00104007"/>
    <w:rsid w:val="00156609"/>
    <w:rsid w:val="001F19F8"/>
    <w:rsid w:val="004743FB"/>
    <w:rsid w:val="00486EE4"/>
    <w:rsid w:val="007746B4"/>
    <w:rsid w:val="00846B62"/>
    <w:rsid w:val="00B10C9F"/>
    <w:rsid w:val="00B666BB"/>
    <w:rsid w:val="00D00C1D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2018-01-26T14:37:00Z</dcterms:created>
  <dcterms:modified xsi:type="dcterms:W3CDTF">2019-01-15T13:38:00Z</dcterms:modified>
</cp:coreProperties>
</file>