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5B" w:rsidRPr="00D465A4" w:rsidRDefault="00E00BD4" w:rsidP="00DA36A7">
      <w:pPr>
        <w:jc w:val="both"/>
        <w:rPr>
          <w:noProof/>
          <w:lang w:val="en-US" w:eastAsia="it-IT"/>
        </w:rPr>
      </w:pPr>
      <w:r>
        <w:rPr>
          <w:noProof/>
          <w:lang w:eastAsia="it-IT"/>
        </w:rPr>
        <w:drawing>
          <wp:inline distT="0" distB="0" distL="0" distR="0" wp14:anchorId="3BB97AC6" wp14:editId="55A7D405">
            <wp:extent cx="1551595" cy="38529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169" cy="3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</w:t>
      </w:r>
      <w:r w:rsidR="00846735">
        <w:rPr>
          <w:noProof/>
          <w:lang w:eastAsia="it-IT"/>
        </w:rPr>
        <w:drawing>
          <wp:inline distT="0" distB="0" distL="0" distR="0" wp14:anchorId="227DB8B5" wp14:editId="4C23B904">
            <wp:extent cx="1356360" cy="358858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358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</w:t>
      </w:r>
      <w:r w:rsidR="00DA36A7" w:rsidRPr="00D465A4">
        <w:rPr>
          <w:noProof/>
          <w:lang w:val="en-US" w:eastAsia="it-IT"/>
        </w:rPr>
        <w:t xml:space="preserve">   </w:t>
      </w:r>
      <w:r>
        <w:rPr>
          <w:noProof/>
          <w:lang w:eastAsia="it-IT"/>
        </w:rPr>
        <w:drawing>
          <wp:inline distT="0" distB="0" distL="0" distR="0">
            <wp:extent cx="854226" cy="861060"/>
            <wp:effectExtent l="0" t="0" r="3175" b="0"/>
            <wp:docPr id="9" name="Immagine 9" descr="C:\Users\ffei\Desktop\santa-cecilia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fei\Desktop\santa-cecilia_n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08" cy="86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6A7" w:rsidRPr="00D465A4">
        <w:rPr>
          <w:noProof/>
          <w:lang w:val="en-US" w:eastAsia="it-IT"/>
        </w:rPr>
        <w:t xml:space="preserve"> </w:t>
      </w:r>
      <w:r>
        <w:rPr>
          <w:noProof/>
          <w:lang w:val="en-US" w:eastAsia="it-IT"/>
        </w:rPr>
        <w:t xml:space="preserve">                   </w:t>
      </w:r>
      <w:r w:rsidR="00DA36A7" w:rsidRPr="00D465A4">
        <w:rPr>
          <w:noProof/>
          <w:lang w:val="en-US" w:eastAsia="it-IT"/>
        </w:rPr>
        <w:t xml:space="preserve">  </w:t>
      </w:r>
      <w:r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7520510F" wp14:editId="73D2A2C2">
            <wp:extent cx="1438910" cy="365760"/>
            <wp:effectExtent l="0" t="0" r="889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36A7" w:rsidRPr="00D465A4">
        <w:rPr>
          <w:noProof/>
          <w:lang w:val="en-US" w:eastAsia="it-IT"/>
        </w:rPr>
        <w:t xml:space="preserve"> </w:t>
      </w:r>
      <w:r>
        <w:rPr>
          <w:noProof/>
          <w:lang w:eastAsia="it-IT"/>
        </w:rPr>
        <w:t xml:space="preserve">                            </w:t>
      </w:r>
      <w:r w:rsidR="00F9325B">
        <w:rPr>
          <w:noProof/>
          <w:lang w:eastAsia="it-IT"/>
        </w:rPr>
        <w:drawing>
          <wp:inline distT="0" distB="0" distL="0" distR="0" wp14:anchorId="72BAE57C" wp14:editId="0702AD60">
            <wp:extent cx="895310" cy="878194"/>
            <wp:effectExtent l="0" t="0" r="63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624" cy="880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A7" w:rsidRPr="00D465A4" w:rsidRDefault="00DA36A7" w:rsidP="00DA36A7">
      <w:pPr>
        <w:jc w:val="both"/>
        <w:rPr>
          <w:color w:val="1F497D"/>
          <w:lang w:val="en-US"/>
        </w:rPr>
      </w:pPr>
      <w:r w:rsidRPr="00D465A4">
        <w:rPr>
          <w:noProof/>
          <w:lang w:val="en-US" w:eastAsia="it-IT"/>
        </w:rPr>
        <w:t xml:space="preserve">  </w:t>
      </w:r>
    </w:p>
    <w:p w:rsidR="00DA36A7" w:rsidRPr="00D465A4" w:rsidRDefault="00DA36A7" w:rsidP="00DA36A7">
      <w:pPr>
        <w:rPr>
          <w:lang w:val="en-US" w:eastAsia="it-IT"/>
        </w:rPr>
      </w:pPr>
    </w:p>
    <w:p w:rsidR="00DA36A7" w:rsidRPr="00D465A4" w:rsidRDefault="00DA36A7" w:rsidP="00DA36A7">
      <w:pPr>
        <w:rPr>
          <w:sz w:val="18"/>
          <w:szCs w:val="18"/>
          <w:lang w:val="en-US" w:eastAsia="it-IT"/>
        </w:rPr>
      </w:pPr>
    </w:p>
    <w:p w:rsidR="00D465A4" w:rsidRDefault="00D465A4" w:rsidP="00D465A4">
      <w:pPr>
        <w:autoSpaceDE w:val="0"/>
        <w:autoSpaceDN w:val="0"/>
        <w:adjustRightInd w:val="0"/>
        <w:ind w:firstLine="708"/>
        <w:jc w:val="center"/>
        <w:rPr>
          <w:rFonts w:asciiTheme="minorHAnsi" w:eastAsiaTheme="minorHAnsi" w:hAnsiTheme="minorHAnsi" w:cstheme="minorHAnsi"/>
          <w:b/>
          <w:i/>
          <w:color w:val="4F81BD" w:themeColor="accent1"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inorHAnsi" w:eastAsiaTheme="minorHAnsi" w:hAnsiTheme="minorHAnsi" w:cstheme="minorHAnsi"/>
          <w:b/>
          <w:color w:val="4F81BD" w:themeColor="accent1"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PROGETTO EUROPEO “</w:t>
      </w:r>
      <w:r w:rsidRPr="00D465A4">
        <w:rPr>
          <w:rFonts w:asciiTheme="minorHAnsi" w:eastAsiaTheme="minorHAnsi" w:hAnsiTheme="minorHAnsi" w:cstheme="minorHAnsi"/>
          <w:b/>
          <w:color w:val="4F81BD" w:themeColor="accent1"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Music Up Close Network: </w:t>
      </w:r>
      <w:r w:rsidRPr="00D465A4">
        <w:rPr>
          <w:rFonts w:asciiTheme="minorHAnsi" w:eastAsiaTheme="minorHAnsi" w:hAnsiTheme="minorHAnsi" w:cstheme="minorHAnsi"/>
          <w:b/>
          <w:i/>
          <w:color w:val="4F81BD" w:themeColor="accent1"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connecting  orchestral music to young audiences</w:t>
      </w:r>
      <w:r>
        <w:rPr>
          <w:rFonts w:asciiTheme="minorHAnsi" w:eastAsiaTheme="minorHAnsi" w:hAnsiTheme="minorHAnsi" w:cstheme="minorHAnsi"/>
          <w:b/>
          <w:i/>
          <w:color w:val="4F81BD" w:themeColor="accent1"/>
          <w:sz w:val="28"/>
          <w:szCs w:val="2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”</w:t>
      </w:r>
    </w:p>
    <w:p w:rsidR="00D465A4" w:rsidRPr="00D465A4" w:rsidRDefault="00D465A4" w:rsidP="00D465A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color w:val="4F81BD" w:themeColor="accen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465A4">
        <w:rPr>
          <w:rFonts w:asciiTheme="minorHAnsi" w:eastAsiaTheme="minorHAnsi" w:hAnsiTheme="minorHAnsi" w:cstheme="minorHAnsi"/>
          <w:b/>
          <w:color w:val="4F81BD" w:themeColor="accen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INCONTRO CON LA REGIONE LAZIO E L’ACCADEMIA NAZIONALE DI SANTA CECILIA</w:t>
      </w:r>
    </w:p>
    <w:p w:rsidR="00D465A4" w:rsidRDefault="00D465A4" w:rsidP="00D465A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color w:val="C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Theme="minorHAnsi" w:eastAsiaTheme="minorHAnsi" w:hAnsiTheme="minorHAnsi" w:cstheme="minorHAnsi"/>
          <w:b/>
          <w:color w:val="C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Giovedì 30 NOVEMBRE 2017 – ORE 10.00</w:t>
      </w:r>
      <w:r w:rsidR="00474A54">
        <w:rPr>
          <w:rFonts w:asciiTheme="minorHAnsi" w:eastAsiaTheme="minorHAnsi" w:hAnsiTheme="minorHAnsi" w:cstheme="minorHAnsi"/>
          <w:b/>
          <w:color w:val="C0000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-12.00</w:t>
      </w:r>
    </w:p>
    <w:p w:rsidR="00D465A4" w:rsidRPr="00D465A4" w:rsidRDefault="00D465A4" w:rsidP="00D465A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</w:p>
    <w:p w:rsidR="00D465A4" w:rsidRDefault="00C25C68" w:rsidP="00D465A4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L</w:t>
      </w:r>
      <w:r w:rsid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a Regione Lazio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, in collaborazione con</w:t>
      </w:r>
      <w:r w:rsid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l’</w:t>
      </w:r>
      <w:r w:rsidR="00D465A4" w:rsidRP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Accademia Nazionale di Santa Cecilia, nell’ambito del progetto europeo </w:t>
      </w:r>
      <w:r w:rsidR="00D465A4" w:rsidRPr="00D465A4">
        <w:rPr>
          <w:rFonts w:asciiTheme="minorHAnsi" w:eastAsiaTheme="minorHAnsi" w:hAnsiTheme="minorHAnsi" w:cstheme="minorHAnsi"/>
          <w:i/>
          <w:iCs/>
          <w:color w:val="365F91" w:themeColor="accent1" w:themeShade="BF"/>
          <w:sz w:val="24"/>
          <w:szCs w:val="24"/>
        </w:rPr>
        <w:t>Music Up Close Network: connecting orchestral music to young audiences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(MUCN),</w:t>
      </w:r>
      <w:r w:rsidR="00D465A4" w:rsidRP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</w:t>
      </w:r>
      <w:r w:rsid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realizzato </w:t>
      </w:r>
      <w:r w:rsidR="00D465A4" w:rsidRP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in partenariato con dieci istituzioni europee, </w:t>
      </w:r>
      <w:r w:rsid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sta </w:t>
      </w:r>
      <w:r w:rsid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organizzando</w:t>
      </w:r>
      <w:r w:rsid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una serie di incontri con i dirigenti scolastici e gli insegnanti di musica </w:t>
      </w:r>
      <w:r w:rsidR="00474A5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delle scuole </w:t>
      </w:r>
      <w:r w:rsidR="00D465A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delle province del Lazio per presentare 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il cartellone degli eventi destinati alle scuole per </w:t>
      </w:r>
      <w:r w:rsidR="00474A54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l’a. s. 2017/2018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.</w:t>
      </w:r>
    </w:p>
    <w:p w:rsidR="00C25C68" w:rsidRPr="00D465A4" w:rsidRDefault="00C25C68" w:rsidP="00D465A4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“MUSIC UP CLOSE NETWORK”</w:t>
      </w:r>
      <w:r w:rsidRPr="00C25C68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è un progetto di cooperazione artistica e culturale transnazionale nel settore musicale che ha tra gli obiettivi il miglioramento della fruizione della musica raggiungendo nuovi pubblici (in particolare pubblici giovani)</w:t>
      </w:r>
      <w:r w:rsid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,</w:t>
      </w:r>
      <w:r w:rsidRPr="00C25C68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attraverso lo sviluppo di una rete di relazioni e scambi internazionali,</w:t>
      </w:r>
      <w:r w:rsid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nonché</w:t>
      </w:r>
      <w:r w:rsidRPr="00C25C68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la promozione dell’internazionalizzazione delle carriere artistiche dei giovani talenti e le strategie di </w:t>
      </w:r>
      <w:r w:rsidRPr="00C25C68">
        <w:rPr>
          <w:rFonts w:asciiTheme="minorHAnsi" w:eastAsiaTheme="minorHAnsi" w:hAnsiTheme="minorHAnsi" w:cstheme="minorHAnsi"/>
          <w:i/>
          <w:color w:val="365F91" w:themeColor="accent1" w:themeShade="BF"/>
          <w:sz w:val="24"/>
          <w:szCs w:val="24"/>
        </w:rPr>
        <w:t>audience development</w:t>
      </w:r>
      <w:r w:rsidR="00D1392E">
        <w:rPr>
          <w:rFonts w:asciiTheme="minorHAnsi" w:eastAsiaTheme="minorHAnsi" w:hAnsiTheme="minorHAnsi" w:cstheme="minorHAnsi"/>
          <w:i/>
          <w:color w:val="365F91" w:themeColor="accent1" w:themeShade="BF"/>
          <w:sz w:val="24"/>
          <w:szCs w:val="24"/>
        </w:rPr>
        <w:t>.</w:t>
      </w:r>
    </w:p>
    <w:p w:rsidR="00D1392E" w:rsidRPr="00D1392E" w:rsidRDefault="00D1392E" w:rsidP="00D1392E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color w:val="365F91" w:themeColor="accent1" w:themeShade="BF"/>
          <w:sz w:val="24"/>
          <w:szCs w:val="24"/>
        </w:rPr>
      </w:pP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Il Progetto è iniziato n</w:t>
      </w:r>
      <w:r w:rsidRPr="00D1392E">
        <w:rPr>
          <w:rFonts w:asciiTheme="minorHAnsi" w:eastAsiaTheme="minorHAnsi" w:hAnsiTheme="minorHAnsi" w:cstheme="minorHAnsi"/>
          <w:bCs/>
          <w:color w:val="365F91" w:themeColor="accent1" w:themeShade="BF"/>
          <w:sz w:val="24"/>
          <w:szCs w:val="24"/>
        </w:rPr>
        <w:t>el giugno del 2016 e la sua conclusione è prevista a dicembre 2019.</w:t>
      </w:r>
    </w:p>
    <w:p w:rsidR="00457610" w:rsidRDefault="00D1392E" w:rsidP="00E00BD4">
      <w:pPr>
        <w:autoSpaceDE w:val="0"/>
        <w:autoSpaceDN w:val="0"/>
        <w:adjustRightInd w:val="0"/>
        <w:ind w:firstLine="420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I partner sono la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Fondazione Accademia Nazionale di Santa Cecilia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(Capofila),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Lille National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Netherland Philharmonic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Barcelona Philharmonic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Sarajevo Philharmonic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Montenegrin Symphony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Ljubljana International Orchestra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– Branimir Slokar Academy,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International Yehudi Menuhin Foundation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,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Regesta.exe Srl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e </w:t>
      </w:r>
      <w:r w:rsidRPr="00D1392E">
        <w:rPr>
          <w:rFonts w:asciiTheme="minorHAnsi" w:eastAsiaTheme="minorHAnsi" w:hAnsiTheme="minorHAnsi" w:cstheme="minorHAnsi"/>
          <w:b/>
          <w:i/>
          <w:color w:val="365F91" w:themeColor="accent1" w:themeShade="BF"/>
          <w:sz w:val="24"/>
          <w:szCs w:val="24"/>
        </w:rPr>
        <w:t>Regione Lazio</w:t>
      </w:r>
      <w:r w:rsidRPr="00D1392E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.</w:t>
      </w:r>
    </w:p>
    <w:p w:rsidR="00D1392E" w:rsidRDefault="00D1392E" w:rsidP="00D1392E">
      <w:pPr>
        <w:autoSpaceDE w:val="0"/>
        <w:autoSpaceDN w:val="0"/>
        <w:adjustRightInd w:val="0"/>
        <w:ind w:firstLine="420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Allo scopo di comunicare </w:t>
      </w:r>
      <w:r w:rsidRPr="0050279D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 xml:space="preserve">il programma degli spettacoli e degli eventi destinati ai ragazzi delle scuole </w:t>
      </w:r>
      <w:r w:rsidR="0050279D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 xml:space="preserve">primarie, </w:t>
      </w:r>
      <w:r w:rsidRPr="0050279D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>secondarie di primo e di secondo grado</w:t>
      </w:r>
      <w:r w:rsidR="00457610" w:rsidRPr="0050279D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 xml:space="preserve"> della Provincia di Roma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, si terrà un incontro con i responsabili della Regione Lazio e dell’Accademia Nazionale di Santa Cecilia</w:t>
      </w:r>
    </w:p>
    <w:p w:rsidR="00D1392E" w:rsidRDefault="00D1392E" w:rsidP="00D1392E">
      <w:pPr>
        <w:autoSpaceDE w:val="0"/>
        <w:autoSpaceDN w:val="0"/>
        <w:adjustRightInd w:val="0"/>
        <w:ind w:firstLine="420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</w:p>
    <w:p w:rsidR="00D1392E" w:rsidRPr="00457610" w:rsidRDefault="00D1392E" w:rsidP="00D1392E">
      <w:pPr>
        <w:autoSpaceDE w:val="0"/>
        <w:autoSpaceDN w:val="0"/>
        <w:adjustRightInd w:val="0"/>
        <w:ind w:firstLine="42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457610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>Giovedì 30 novembre 2017 ore 10.00-12.00</w:t>
      </w:r>
    </w:p>
    <w:p w:rsidR="00D1392E" w:rsidRDefault="00D1392E" w:rsidP="00D1392E">
      <w:pPr>
        <w:autoSpaceDE w:val="0"/>
        <w:autoSpaceDN w:val="0"/>
        <w:adjustRightInd w:val="0"/>
        <w:ind w:firstLine="42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457610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>presso la Regione Lazio, Via R. Raimondi Garibaldi 7, Palazzina C, Sala Tirreno</w:t>
      </w:r>
    </w:p>
    <w:p w:rsidR="0050279D" w:rsidRDefault="0050279D" w:rsidP="00D1392E">
      <w:pPr>
        <w:autoSpaceDE w:val="0"/>
        <w:autoSpaceDN w:val="0"/>
        <w:adjustRightInd w:val="0"/>
        <w:ind w:firstLine="42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50279D" w:rsidRPr="00E00BD4" w:rsidRDefault="0050279D" w:rsidP="00E00BD4">
      <w:pPr>
        <w:autoSpaceDE w:val="0"/>
        <w:autoSpaceDN w:val="0"/>
        <w:adjustRightInd w:val="0"/>
        <w:ind w:firstLine="420"/>
        <w:jc w:val="both"/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 xml:space="preserve">Per poter organizzare nel migliore dei modi l’evento, si prega di dare conferma, indicando il nominativo della scuola e dei partecipanti all’indirizzo email: </w:t>
      </w:r>
      <w:hyperlink r:id="rId13" w:history="1">
        <w:r w:rsidRPr="00D8496A">
          <w:rPr>
            <w:rStyle w:val="Collegamentoipertestuale"/>
            <w:rFonts w:asciiTheme="minorHAnsi" w:eastAsiaTheme="minorHAnsi" w:hAnsiTheme="minorHAnsi" w:cstheme="minorHAnsi"/>
            <w:b/>
            <w:sz w:val="24"/>
            <w:szCs w:val="24"/>
          </w:rPr>
          <w:t>ffei@regione.lazio.it</w:t>
        </w:r>
      </w:hyperlink>
    </w:p>
    <w:p w:rsidR="0050279D" w:rsidRPr="00E00BD4" w:rsidRDefault="00E00BD4" w:rsidP="00E00BD4">
      <w:pPr>
        <w:autoSpaceDE w:val="0"/>
        <w:autoSpaceDN w:val="0"/>
        <w:adjustRightInd w:val="0"/>
        <w:ind w:firstLine="420"/>
        <w:jc w:val="both"/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</w:pP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Per informazioni: </w:t>
      </w:r>
      <w:r w:rsidR="0050279D" w:rsidRPr="003664D3">
        <w:rPr>
          <w:rFonts w:asciiTheme="minorHAnsi" w:eastAsiaTheme="minorHAnsi" w:hAnsiTheme="minorHAnsi" w:cstheme="minorHAnsi"/>
          <w:b/>
          <w:color w:val="365F91" w:themeColor="accent1" w:themeShade="BF"/>
          <w:sz w:val="24"/>
          <w:szCs w:val="24"/>
        </w:rPr>
        <w:t>dott.ssa Priscilla Armellin</w:t>
      </w:r>
      <w:r w:rsidR="003664D3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,</w:t>
      </w:r>
      <w:r w:rsidR="0050279D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email: </w:t>
      </w:r>
      <w:hyperlink r:id="rId14" w:history="1">
        <w:r w:rsidR="0050279D" w:rsidRPr="00D8496A">
          <w:rPr>
            <w:rStyle w:val="Collegamentoipertestuale"/>
            <w:rFonts w:asciiTheme="minorHAnsi" w:eastAsiaTheme="minorHAnsi" w:hAnsiTheme="minorHAnsi" w:cstheme="minorHAnsi"/>
            <w:sz w:val="24"/>
            <w:szCs w:val="24"/>
          </w:rPr>
          <w:t>parmellin@regione.lazio.it</w:t>
        </w:r>
      </w:hyperlink>
      <w:r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 xml:space="preserve">  </w:t>
      </w:r>
      <w:r w:rsidR="0050279D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tel. 06.51685380</w:t>
      </w:r>
      <w:r w:rsidR="003664D3">
        <w:rPr>
          <w:rFonts w:asciiTheme="minorHAnsi" w:eastAsiaTheme="minorHAnsi" w:hAnsiTheme="minorHAnsi" w:cstheme="minorHAnsi"/>
          <w:color w:val="365F91" w:themeColor="accent1" w:themeShade="BF"/>
          <w:sz w:val="24"/>
          <w:szCs w:val="24"/>
        </w:rPr>
        <w:t>.</w:t>
      </w:r>
      <w:bookmarkStart w:id="0" w:name="_GoBack"/>
      <w:bookmarkEnd w:id="0"/>
    </w:p>
    <w:sectPr w:rsidR="0050279D" w:rsidRPr="00E00BD4" w:rsidSect="00E00BD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8C8" w:rsidRDefault="00DF68C8" w:rsidP="00846735">
      <w:r>
        <w:separator/>
      </w:r>
    </w:p>
  </w:endnote>
  <w:endnote w:type="continuationSeparator" w:id="0">
    <w:p w:rsidR="00DF68C8" w:rsidRDefault="00DF68C8" w:rsidP="0084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8C8" w:rsidRDefault="00DF68C8" w:rsidP="00846735">
      <w:r>
        <w:separator/>
      </w:r>
    </w:p>
  </w:footnote>
  <w:footnote w:type="continuationSeparator" w:id="0">
    <w:p w:rsidR="00DF68C8" w:rsidRDefault="00DF68C8" w:rsidP="0084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592"/>
    <w:multiLevelType w:val="hybridMultilevel"/>
    <w:tmpl w:val="3618A714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35"/>
    <w:rsid w:val="003664D3"/>
    <w:rsid w:val="0037078D"/>
    <w:rsid w:val="00457610"/>
    <w:rsid w:val="00474A54"/>
    <w:rsid w:val="0050279D"/>
    <w:rsid w:val="00846735"/>
    <w:rsid w:val="00C25C68"/>
    <w:rsid w:val="00D11E69"/>
    <w:rsid w:val="00D1392E"/>
    <w:rsid w:val="00D465A4"/>
    <w:rsid w:val="00DA36A7"/>
    <w:rsid w:val="00DF68C8"/>
    <w:rsid w:val="00E00BD4"/>
    <w:rsid w:val="00F9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6A7"/>
    <w:pPr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7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7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467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735"/>
  </w:style>
  <w:style w:type="paragraph" w:styleId="Pidipagina">
    <w:name w:val="footer"/>
    <w:basedOn w:val="Normale"/>
    <w:link w:val="PidipaginaCarattere"/>
    <w:uiPriority w:val="99"/>
    <w:unhideWhenUsed/>
    <w:rsid w:val="008467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735"/>
  </w:style>
  <w:style w:type="character" w:styleId="Collegamentoipertestuale">
    <w:name w:val="Hyperlink"/>
    <w:basedOn w:val="Carpredefinitoparagrafo"/>
    <w:uiPriority w:val="99"/>
    <w:unhideWhenUsed/>
    <w:rsid w:val="00502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6A7"/>
    <w:pPr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7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7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467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735"/>
  </w:style>
  <w:style w:type="paragraph" w:styleId="Pidipagina">
    <w:name w:val="footer"/>
    <w:basedOn w:val="Normale"/>
    <w:link w:val="PidipaginaCarattere"/>
    <w:uiPriority w:val="99"/>
    <w:unhideWhenUsed/>
    <w:rsid w:val="008467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735"/>
  </w:style>
  <w:style w:type="character" w:styleId="Collegamentoipertestuale">
    <w:name w:val="Hyperlink"/>
    <w:basedOn w:val="Carpredefinitoparagrafo"/>
    <w:uiPriority w:val="99"/>
    <w:unhideWhenUsed/>
    <w:rsid w:val="00502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ffei@regione.lazi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mailto:parmellin@regione.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Fei</dc:creator>
  <cp:lastModifiedBy>Francesca Fei</cp:lastModifiedBy>
  <cp:revision>7</cp:revision>
  <dcterms:created xsi:type="dcterms:W3CDTF">2017-11-16T09:02:00Z</dcterms:created>
  <dcterms:modified xsi:type="dcterms:W3CDTF">2017-11-16T11:19:00Z</dcterms:modified>
</cp:coreProperties>
</file>