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91B" w:rsidRPr="00456851" w:rsidRDefault="0071091B" w:rsidP="0071091B">
      <w:pPr>
        <w:spacing w:after="0" w:line="240" w:lineRule="auto"/>
        <w:jc w:val="center"/>
        <w:rPr>
          <w:rFonts w:ascii="Gill Sans MT" w:eastAsia="Times New Roman" w:hAnsi="Gill Sans MT" w:cs="Times New Roman"/>
          <w:b/>
          <w:bCs/>
          <w:sz w:val="26"/>
          <w:szCs w:val="26"/>
          <w:lang w:val="en-US" w:eastAsia="it-IT" w:bidi="he-IL"/>
        </w:rPr>
      </w:pPr>
      <w:r w:rsidRPr="00456851">
        <w:rPr>
          <w:rFonts w:ascii="Gill Sans MT" w:eastAsia="Times New Roman" w:hAnsi="Gill Sans MT" w:cs="Times New Roman"/>
          <w:b/>
          <w:bCs/>
          <w:sz w:val="26"/>
          <w:szCs w:val="26"/>
          <w:lang w:val="en-US" w:eastAsia="it-IT" w:bidi="he-IL"/>
        </w:rPr>
        <w:t>PROGETTO CREATIVE EUROPE  2014-2020 “MUSIC UP CLOSE NETWORK”</w:t>
      </w:r>
    </w:p>
    <w:p w:rsidR="0071091B" w:rsidRPr="00456851" w:rsidRDefault="0071091B" w:rsidP="0071091B">
      <w:pPr>
        <w:spacing w:after="0" w:line="240" w:lineRule="auto"/>
        <w:jc w:val="center"/>
        <w:rPr>
          <w:rFonts w:ascii="Gill Sans MT" w:eastAsia="Times New Roman" w:hAnsi="Gill Sans MT" w:cs="Times New Roman"/>
          <w:b/>
          <w:bCs/>
          <w:sz w:val="24"/>
          <w:szCs w:val="24"/>
          <w:lang w:val="en-US" w:eastAsia="it-IT" w:bidi="he-IL"/>
        </w:rPr>
      </w:pPr>
    </w:p>
    <w:p w:rsidR="0071091B" w:rsidRPr="00456851" w:rsidRDefault="0071091B" w:rsidP="0071091B">
      <w:pPr>
        <w:autoSpaceDE w:val="0"/>
        <w:autoSpaceDN w:val="0"/>
        <w:adjustRightInd w:val="0"/>
        <w:spacing w:after="0" w:line="240" w:lineRule="auto"/>
        <w:rPr>
          <w:rFonts w:ascii="Gill Sans MT" w:eastAsia="Times New Roman" w:hAnsi="Gill Sans MT" w:cs="Times New Roman"/>
          <w:b/>
          <w:bCs/>
          <w:lang w:val="en-US" w:eastAsia="it-IT" w:bidi="he-IL"/>
        </w:rPr>
      </w:pPr>
    </w:p>
    <w:p w:rsidR="0071091B" w:rsidRPr="00F51960" w:rsidRDefault="0071091B" w:rsidP="0071091B">
      <w:pPr>
        <w:autoSpaceDE w:val="0"/>
        <w:autoSpaceDN w:val="0"/>
        <w:adjustRightInd w:val="0"/>
        <w:spacing w:before="120" w:after="120" w:line="240" w:lineRule="auto"/>
        <w:jc w:val="both"/>
        <w:rPr>
          <w:rFonts w:asciiTheme="majorHAnsi" w:eastAsia="Times New Roman" w:hAnsiTheme="majorHAnsi" w:cs="Times New Roman"/>
          <w:lang w:eastAsia="it-IT" w:bidi="he-IL"/>
        </w:rPr>
      </w:pPr>
      <w:r w:rsidRPr="00456851">
        <w:rPr>
          <w:rFonts w:asciiTheme="majorHAnsi" w:eastAsia="Times New Roman" w:hAnsiTheme="majorHAnsi" w:cs="Times New Roman"/>
          <w:b/>
          <w:bCs/>
          <w:sz w:val="20"/>
          <w:szCs w:val="20"/>
          <w:lang w:val="en-US" w:eastAsia="it-IT" w:bidi="he-IL"/>
        </w:rPr>
        <w:t>“</w:t>
      </w:r>
      <w:r w:rsidRPr="00456851">
        <w:rPr>
          <w:rFonts w:asciiTheme="majorHAnsi" w:eastAsia="FreeSerif" w:hAnsiTheme="majorHAnsi" w:cs="FreeSerif"/>
          <w:lang w:val="en-US"/>
        </w:rPr>
        <w:t xml:space="preserve">Music Up Close Network: Connecting Orchestral Music to Young Audiences” è un Progetto </w:t>
      </w:r>
      <w:r w:rsidRPr="00456851">
        <w:rPr>
          <w:rFonts w:asciiTheme="majorHAnsi" w:eastAsia="FreeSerif" w:hAnsiTheme="majorHAnsi" w:cs="FreeSerif"/>
        </w:rPr>
        <w:t>finanziato</w:t>
      </w:r>
      <w:r w:rsidRPr="00456851">
        <w:rPr>
          <w:rFonts w:asciiTheme="majorHAnsi" w:eastAsia="FreeSerif" w:hAnsiTheme="majorHAnsi" w:cs="FreeSerif"/>
          <w:lang w:val="en-US"/>
        </w:rPr>
        <w:t xml:space="preserve"> dal Programma </w:t>
      </w:r>
      <w:r>
        <w:rPr>
          <w:rFonts w:asciiTheme="majorHAnsi" w:eastAsia="FreeSerif" w:hAnsiTheme="majorHAnsi" w:cs="FreeSerif"/>
          <w:lang w:val="en-US"/>
        </w:rPr>
        <w:t xml:space="preserve">Europa </w:t>
      </w:r>
      <w:r w:rsidRPr="0071091B">
        <w:rPr>
          <w:rFonts w:asciiTheme="majorHAnsi" w:eastAsia="FreeSerif" w:hAnsiTheme="majorHAnsi" w:cs="FreeSerif"/>
        </w:rPr>
        <w:t>Creativa</w:t>
      </w:r>
      <w:r w:rsidRPr="00456851">
        <w:rPr>
          <w:rFonts w:asciiTheme="majorHAnsi" w:eastAsia="FreeSerif" w:hAnsiTheme="majorHAnsi" w:cs="FreeSerif"/>
        </w:rPr>
        <w:t xml:space="preserve"> </w:t>
      </w:r>
      <w:r w:rsidRPr="00456851">
        <w:rPr>
          <w:rFonts w:asciiTheme="majorHAnsi" w:eastAsia="Times New Roman" w:hAnsiTheme="majorHAnsi" w:cs="Times New Roman"/>
          <w:lang w:eastAsia="it-IT" w:bidi="he-IL"/>
        </w:rPr>
        <w:t>2014-2020.</w:t>
      </w:r>
    </w:p>
    <w:p w:rsidR="0071091B" w:rsidRPr="0071091B" w:rsidRDefault="0071091B" w:rsidP="0071091B">
      <w:pPr>
        <w:autoSpaceDE w:val="0"/>
        <w:autoSpaceDN w:val="0"/>
        <w:adjustRightInd w:val="0"/>
        <w:spacing w:before="120" w:after="120" w:line="240" w:lineRule="auto"/>
        <w:jc w:val="both"/>
        <w:rPr>
          <w:rFonts w:asciiTheme="majorHAnsi" w:eastAsia="FreeSerif" w:hAnsiTheme="majorHAnsi" w:cs="FreeSerif"/>
        </w:rPr>
      </w:pPr>
      <w:r w:rsidRPr="0071091B">
        <w:rPr>
          <w:rFonts w:asciiTheme="majorHAnsi" w:eastAsia="FreeSerif" w:hAnsiTheme="majorHAnsi" w:cs="FreeSerif"/>
        </w:rPr>
        <w:t xml:space="preserve">CULTURA è il sottoprogramma del Programma comunitario quadro Europa Creativa dedicato al settore culturale e creativo per il 2014-2020, che promuove la </w:t>
      </w:r>
      <w:r w:rsidRPr="0071091B">
        <w:rPr>
          <w:rFonts w:asciiTheme="majorHAnsi" w:eastAsia="FreeSerif" w:hAnsiTheme="majorHAnsi" w:cs="FreeSerif"/>
          <w:b/>
        </w:rPr>
        <w:t>mobilità transnazionale</w:t>
      </w:r>
      <w:r w:rsidRPr="0071091B">
        <w:rPr>
          <w:rFonts w:asciiTheme="majorHAnsi" w:eastAsia="FreeSerif" w:hAnsiTheme="majorHAnsi" w:cs="FreeSerif"/>
        </w:rPr>
        <w:t xml:space="preserve"> di opere culturali e creative, di artisti e operatori culturali e creativi, al fine di favorire l'internazionalizzazione delle carriere, </w:t>
      </w:r>
      <w:r w:rsidRPr="00F51960">
        <w:rPr>
          <w:rFonts w:asciiTheme="majorHAnsi" w:eastAsia="FreeSerif" w:hAnsiTheme="majorHAnsi" w:cs="FreeSerif"/>
          <w:b/>
          <w:i/>
        </w:rPr>
        <w:t>l'</w:t>
      </w:r>
      <w:r w:rsidR="00F51960" w:rsidRPr="00F51960">
        <w:rPr>
          <w:rFonts w:asciiTheme="majorHAnsi" w:eastAsia="FreeSerif" w:hAnsiTheme="majorHAnsi" w:cs="FreeSerif"/>
          <w:b/>
          <w:i/>
        </w:rPr>
        <w:t>audience development</w:t>
      </w:r>
      <w:r w:rsidRPr="0071091B">
        <w:rPr>
          <w:rFonts w:asciiTheme="majorHAnsi" w:eastAsia="FreeSerif" w:hAnsiTheme="majorHAnsi" w:cs="FreeSerif"/>
        </w:rPr>
        <w:t xml:space="preserve"> per rendere la cultura sempre più accessibile e la </w:t>
      </w:r>
      <w:r w:rsidRPr="0071091B">
        <w:rPr>
          <w:rFonts w:asciiTheme="majorHAnsi" w:eastAsia="FreeSerif" w:hAnsiTheme="majorHAnsi" w:cs="FreeSerif"/>
          <w:b/>
        </w:rPr>
        <w:t>creatività</w:t>
      </w:r>
      <w:r w:rsidRPr="0071091B">
        <w:rPr>
          <w:rFonts w:asciiTheme="majorHAnsi" w:eastAsia="FreeSerif" w:hAnsiTheme="majorHAnsi" w:cs="FreeSerif"/>
        </w:rPr>
        <w:t>, per sperimentare approcci innovativi alla creazione e sviluppare nuovi modelli di gestione e marketing per il settori culturale.</w:t>
      </w:r>
    </w:p>
    <w:p w:rsidR="0071091B" w:rsidRPr="0071091B" w:rsidRDefault="0071091B" w:rsidP="0071091B">
      <w:pPr>
        <w:autoSpaceDE w:val="0"/>
        <w:autoSpaceDN w:val="0"/>
        <w:adjustRightInd w:val="0"/>
        <w:spacing w:before="120" w:after="120" w:line="240" w:lineRule="auto"/>
        <w:jc w:val="both"/>
        <w:rPr>
          <w:rFonts w:asciiTheme="majorHAnsi" w:eastAsia="FreeSerif" w:hAnsiTheme="majorHAnsi" w:cs="FreeSerif"/>
        </w:rPr>
      </w:pPr>
      <w:r w:rsidRPr="0071091B">
        <w:rPr>
          <w:rFonts w:asciiTheme="majorHAnsi" w:eastAsia="FreeSerif" w:hAnsiTheme="majorHAnsi" w:cs="FreeSerif"/>
        </w:rPr>
        <w:t xml:space="preserve">Il progetto “MUSIC UP CLOSE NETWORK: </w:t>
      </w:r>
      <w:r w:rsidRPr="0071091B">
        <w:rPr>
          <w:rFonts w:asciiTheme="majorHAnsi" w:eastAsia="FreeSerif" w:hAnsiTheme="majorHAnsi" w:cs="FreeSerif"/>
          <w:i/>
          <w:iCs/>
        </w:rPr>
        <w:t>connecting orchestral music to young audiences”</w:t>
      </w:r>
      <w:r w:rsidRPr="0071091B">
        <w:rPr>
          <w:rFonts w:asciiTheme="majorHAnsi" w:eastAsia="FreeSerif" w:hAnsiTheme="majorHAnsi" w:cs="FreeSerif"/>
        </w:rPr>
        <w:t xml:space="preserve"> è un progetto di cooperazione artistica e culturale transnazionale nel settore musicale che ha tra gli obiettivi il miglioramento della fruizione della musica raggiungendo nuovi pubblici (in particolare pubblici giovani) attraverso lo sviluppo di una rete di relazioni e scambi internazionali, la promozione dell’internazionalizzazione delle carriere artistiche dei giovani talenti e le strategie di </w:t>
      </w:r>
      <w:r w:rsidRPr="0071091B">
        <w:rPr>
          <w:rFonts w:asciiTheme="majorHAnsi" w:eastAsia="FreeSerif" w:hAnsiTheme="majorHAnsi" w:cs="FreeSerif"/>
          <w:i/>
        </w:rPr>
        <w:t>audience development</w:t>
      </w:r>
      <w:r w:rsidRPr="0071091B">
        <w:rPr>
          <w:rFonts w:asciiTheme="majorHAnsi" w:eastAsia="FreeSerif" w:hAnsiTheme="majorHAnsi" w:cs="FreeSerif"/>
        </w:rPr>
        <w:t>.</w:t>
      </w:r>
    </w:p>
    <w:p w:rsidR="0071091B" w:rsidRPr="0071091B" w:rsidRDefault="0071091B" w:rsidP="0071091B">
      <w:pPr>
        <w:autoSpaceDE w:val="0"/>
        <w:autoSpaceDN w:val="0"/>
        <w:adjustRightInd w:val="0"/>
        <w:spacing w:before="120" w:after="120" w:line="240" w:lineRule="auto"/>
        <w:jc w:val="both"/>
        <w:rPr>
          <w:rFonts w:asciiTheme="majorHAnsi" w:eastAsia="FreeSerif" w:hAnsiTheme="majorHAnsi" w:cs="FreeSerif"/>
        </w:rPr>
      </w:pPr>
      <w:r w:rsidRPr="0071091B">
        <w:rPr>
          <w:rFonts w:asciiTheme="majorHAnsi" w:eastAsia="FreeSerif" w:hAnsiTheme="majorHAnsi" w:cs="FreeSerif"/>
        </w:rPr>
        <w:t>La partecipazione della Regione</w:t>
      </w:r>
      <w:r>
        <w:rPr>
          <w:rFonts w:asciiTheme="majorHAnsi" w:eastAsia="FreeSerif" w:hAnsiTheme="majorHAnsi" w:cs="FreeSerif"/>
        </w:rPr>
        <w:t xml:space="preserve"> Lazio</w:t>
      </w:r>
      <w:r w:rsidRPr="0071091B">
        <w:rPr>
          <w:rFonts w:asciiTheme="majorHAnsi" w:eastAsia="FreeSerif" w:hAnsiTheme="majorHAnsi" w:cs="FreeSerif"/>
        </w:rPr>
        <w:t xml:space="preserve"> al progetto è in linea con gli obiettivi della programmazione unitaria regionale dei Fondi SIE 2014-2020 e con le politiche culturali promosse dal competente Assessorato.</w:t>
      </w:r>
    </w:p>
    <w:p w:rsidR="0071091B" w:rsidRPr="00456851" w:rsidRDefault="0071091B" w:rsidP="0071091B">
      <w:pPr>
        <w:autoSpaceDE w:val="0"/>
        <w:autoSpaceDN w:val="0"/>
        <w:adjustRightInd w:val="0"/>
        <w:spacing w:before="120" w:after="120" w:line="240" w:lineRule="auto"/>
        <w:jc w:val="both"/>
        <w:rPr>
          <w:rFonts w:asciiTheme="majorHAnsi" w:eastAsia="Times New Roman" w:hAnsiTheme="majorHAnsi" w:cs="Times New Roman"/>
          <w:bCs/>
          <w:lang w:eastAsia="it-IT" w:bidi="he-IL"/>
        </w:rPr>
      </w:pPr>
      <w:r w:rsidRPr="00456851">
        <w:rPr>
          <w:rFonts w:asciiTheme="majorHAnsi" w:eastAsia="FreeSerif" w:hAnsiTheme="majorHAnsi" w:cs="FreeSerif"/>
        </w:rPr>
        <w:t>Il Progetto è iniziato n</w:t>
      </w:r>
      <w:r w:rsidRPr="00456851">
        <w:rPr>
          <w:rFonts w:asciiTheme="majorHAnsi" w:eastAsia="Times New Roman" w:hAnsiTheme="majorHAnsi" w:cs="Times New Roman"/>
          <w:bCs/>
          <w:lang w:eastAsia="it-IT" w:bidi="he-IL"/>
        </w:rPr>
        <w:t>el giugno del 2016 e la sua conclusione è prevista a dicembre 2019.</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Times New Roman"/>
          <w:lang w:eastAsia="it-IT" w:bidi="he-IL"/>
        </w:rPr>
      </w:pPr>
      <w:r w:rsidRPr="00456851">
        <w:rPr>
          <w:rFonts w:asciiTheme="majorHAnsi" w:eastAsia="Times New Roman" w:hAnsiTheme="majorHAnsi" w:cs="Times New Roman"/>
          <w:lang w:eastAsia="it-IT" w:bidi="he-IL"/>
        </w:rPr>
        <w:t xml:space="preserve">I partner del Progetto sono la </w:t>
      </w:r>
      <w:r w:rsidRPr="00456851">
        <w:rPr>
          <w:rFonts w:asciiTheme="majorHAnsi" w:eastAsia="Times New Roman" w:hAnsiTheme="majorHAnsi" w:cs="Times New Roman"/>
          <w:b/>
          <w:i/>
          <w:lang w:eastAsia="it-IT" w:bidi="he-IL"/>
        </w:rPr>
        <w:t>Fondazione Accademia Nazionale di Santa Cecilia</w:t>
      </w:r>
      <w:r w:rsidRPr="00456851">
        <w:rPr>
          <w:rFonts w:asciiTheme="majorHAnsi" w:eastAsia="Times New Roman" w:hAnsiTheme="majorHAnsi" w:cs="Times New Roman"/>
          <w:lang w:eastAsia="it-IT" w:bidi="he-IL"/>
        </w:rPr>
        <w:t xml:space="preserve"> (Capofila), </w:t>
      </w:r>
      <w:r w:rsidRPr="00456851">
        <w:rPr>
          <w:rFonts w:asciiTheme="majorHAnsi" w:eastAsia="Times New Roman" w:hAnsiTheme="majorHAnsi" w:cs="Times New Roman"/>
          <w:b/>
          <w:i/>
          <w:lang w:eastAsia="it-IT" w:bidi="he-IL"/>
        </w:rPr>
        <w:t>Lille National Orchestra</w:t>
      </w:r>
      <w:r w:rsidRPr="00456851">
        <w:rPr>
          <w:rFonts w:asciiTheme="majorHAnsi" w:eastAsia="Times New Roman" w:hAnsiTheme="majorHAnsi" w:cs="Times New Roman"/>
          <w:lang w:eastAsia="it-IT" w:bidi="he-IL"/>
        </w:rPr>
        <w:t xml:space="preserve">, </w:t>
      </w:r>
      <w:r w:rsidR="00F51960">
        <w:rPr>
          <w:rFonts w:asciiTheme="majorHAnsi" w:eastAsia="Times New Roman" w:hAnsiTheme="majorHAnsi" w:cs="Times New Roman"/>
          <w:b/>
          <w:i/>
          <w:lang w:eastAsia="it-IT" w:bidi="he-IL"/>
        </w:rPr>
        <w:t>Netherland</w:t>
      </w:r>
      <w:r w:rsidRPr="00456851">
        <w:rPr>
          <w:rFonts w:asciiTheme="majorHAnsi" w:eastAsia="Times New Roman" w:hAnsiTheme="majorHAnsi" w:cs="Times New Roman"/>
          <w:b/>
          <w:i/>
          <w:lang w:eastAsia="it-IT" w:bidi="he-IL"/>
        </w:rPr>
        <w:t xml:space="preserve"> Philharmonic Orchestra</w:t>
      </w:r>
      <w:r w:rsidRPr="00456851">
        <w:rPr>
          <w:rFonts w:asciiTheme="majorHAnsi" w:eastAsia="Times New Roman" w:hAnsiTheme="majorHAnsi" w:cs="Times New Roman"/>
          <w:lang w:eastAsia="it-IT" w:bidi="he-IL"/>
        </w:rPr>
        <w:t xml:space="preserve">, </w:t>
      </w:r>
      <w:r w:rsidRPr="00456851">
        <w:rPr>
          <w:rFonts w:asciiTheme="majorHAnsi" w:eastAsia="Times New Roman" w:hAnsiTheme="majorHAnsi" w:cs="Times New Roman"/>
          <w:b/>
          <w:i/>
          <w:lang w:eastAsia="it-IT" w:bidi="he-IL"/>
        </w:rPr>
        <w:t>Barcelona Philharmonic Orchestra</w:t>
      </w:r>
      <w:r w:rsidRPr="00456851">
        <w:rPr>
          <w:rFonts w:asciiTheme="majorHAnsi" w:eastAsia="Times New Roman" w:hAnsiTheme="majorHAnsi" w:cs="Times New Roman"/>
          <w:lang w:eastAsia="it-IT" w:bidi="he-IL"/>
        </w:rPr>
        <w:t xml:space="preserve">, </w:t>
      </w:r>
      <w:r w:rsidRPr="00456851">
        <w:rPr>
          <w:rFonts w:asciiTheme="majorHAnsi" w:eastAsia="Times New Roman" w:hAnsiTheme="majorHAnsi" w:cs="Times New Roman"/>
          <w:b/>
          <w:i/>
          <w:lang w:eastAsia="it-IT" w:bidi="he-IL"/>
        </w:rPr>
        <w:t>Sarajevo Philharmonic Orchestra</w:t>
      </w:r>
      <w:r w:rsidRPr="00456851">
        <w:rPr>
          <w:rFonts w:asciiTheme="majorHAnsi" w:eastAsia="Times New Roman" w:hAnsiTheme="majorHAnsi" w:cs="Times New Roman"/>
          <w:lang w:eastAsia="it-IT" w:bidi="he-IL"/>
        </w:rPr>
        <w:t xml:space="preserve">, </w:t>
      </w:r>
      <w:r w:rsidRPr="00456851">
        <w:rPr>
          <w:rFonts w:asciiTheme="majorHAnsi" w:eastAsia="Times New Roman" w:hAnsiTheme="majorHAnsi" w:cs="Times New Roman"/>
          <w:b/>
          <w:i/>
          <w:lang w:eastAsia="it-IT" w:bidi="he-IL"/>
        </w:rPr>
        <w:t>Montenegrin Symphony Orchestra</w:t>
      </w:r>
      <w:r w:rsidRPr="00456851">
        <w:rPr>
          <w:rFonts w:asciiTheme="majorHAnsi" w:eastAsia="Times New Roman" w:hAnsiTheme="majorHAnsi" w:cs="Times New Roman"/>
          <w:lang w:eastAsia="it-IT" w:bidi="he-IL"/>
        </w:rPr>
        <w:t xml:space="preserve">, </w:t>
      </w:r>
      <w:r w:rsidRPr="00456851">
        <w:rPr>
          <w:rFonts w:asciiTheme="majorHAnsi" w:eastAsia="Times New Roman" w:hAnsiTheme="majorHAnsi" w:cs="Times New Roman"/>
          <w:b/>
          <w:i/>
          <w:lang w:eastAsia="it-IT" w:bidi="he-IL"/>
        </w:rPr>
        <w:t>Ljubljana International Orchestra</w:t>
      </w:r>
      <w:r w:rsidRPr="00456851">
        <w:rPr>
          <w:rFonts w:asciiTheme="majorHAnsi" w:eastAsia="Times New Roman" w:hAnsiTheme="majorHAnsi" w:cs="Times New Roman"/>
          <w:lang w:eastAsia="it-IT" w:bidi="he-IL"/>
        </w:rPr>
        <w:t xml:space="preserve"> – Branimir Slokar</w:t>
      </w:r>
      <w:bookmarkStart w:id="0" w:name="_GoBack"/>
      <w:bookmarkEnd w:id="0"/>
      <w:r w:rsidRPr="00456851">
        <w:rPr>
          <w:rFonts w:asciiTheme="majorHAnsi" w:eastAsia="Times New Roman" w:hAnsiTheme="majorHAnsi" w:cs="Times New Roman"/>
          <w:lang w:eastAsia="it-IT" w:bidi="he-IL"/>
        </w:rPr>
        <w:t xml:space="preserve"> Academy, </w:t>
      </w:r>
      <w:r w:rsidRPr="00456851">
        <w:rPr>
          <w:rFonts w:asciiTheme="majorHAnsi" w:eastAsia="Times New Roman" w:hAnsiTheme="majorHAnsi" w:cs="Times New Roman"/>
          <w:b/>
          <w:i/>
          <w:lang w:eastAsia="it-IT" w:bidi="he-IL"/>
        </w:rPr>
        <w:t>International Yehudi Menuhin Foundation</w:t>
      </w:r>
      <w:r w:rsidRPr="00456851">
        <w:rPr>
          <w:rFonts w:asciiTheme="majorHAnsi" w:eastAsia="Times New Roman" w:hAnsiTheme="majorHAnsi" w:cs="Times New Roman"/>
          <w:lang w:eastAsia="it-IT" w:bidi="he-IL"/>
        </w:rPr>
        <w:t xml:space="preserve">, </w:t>
      </w:r>
      <w:r w:rsidRPr="00456851">
        <w:rPr>
          <w:rFonts w:asciiTheme="majorHAnsi" w:eastAsia="Times New Roman" w:hAnsiTheme="majorHAnsi" w:cs="Times New Roman"/>
          <w:b/>
          <w:i/>
          <w:lang w:eastAsia="it-IT" w:bidi="he-IL"/>
        </w:rPr>
        <w:t>Regesta.exe Srl</w:t>
      </w:r>
      <w:r w:rsidRPr="00456851">
        <w:rPr>
          <w:rFonts w:asciiTheme="majorHAnsi" w:eastAsia="Times New Roman" w:hAnsiTheme="majorHAnsi" w:cs="Times New Roman"/>
          <w:lang w:eastAsia="it-IT" w:bidi="he-IL"/>
        </w:rPr>
        <w:t xml:space="preserve"> e </w:t>
      </w:r>
      <w:r w:rsidRPr="00456851">
        <w:rPr>
          <w:rFonts w:asciiTheme="majorHAnsi" w:eastAsia="Times New Roman" w:hAnsiTheme="majorHAnsi" w:cs="Times New Roman"/>
          <w:b/>
          <w:i/>
          <w:lang w:eastAsia="it-IT" w:bidi="he-IL"/>
        </w:rPr>
        <w:t>Regione Lazio</w:t>
      </w:r>
      <w:r w:rsidRPr="00456851">
        <w:rPr>
          <w:rFonts w:asciiTheme="majorHAnsi" w:eastAsia="Times New Roman" w:hAnsiTheme="majorHAnsi" w:cs="Times New Roman"/>
          <w:lang w:eastAsia="it-IT" w:bidi="he-IL"/>
        </w:rPr>
        <w:t>.</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Times New Roman"/>
          <w:lang w:eastAsia="it-IT" w:bidi="he-IL"/>
        </w:rPr>
      </w:pPr>
    </w:p>
    <w:p w:rsidR="0071091B" w:rsidRPr="00456851" w:rsidRDefault="0071091B" w:rsidP="0071091B">
      <w:pPr>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t>Nel panorama  della musica orchestrale è in atto da tempo il tentativo di diffondere la cultura della musica classica tra le giovani generazioni tramite la definizione di nuovi spazi di rappresentazione e di nuovi format.</w:t>
      </w:r>
    </w:p>
    <w:p w:rsidR="0071091B" w:rsidRPr="00456851" w:rsidRDefault="0071091B" w:rsidP="0071091B">
      <w:pPr>
        <w:spacing w:after="0" w:line="240" w:lineRule="auto"/>
        <w:jc w:val="both"/>
        <w:rPr>
          <w:rFonts w:asciiTheme="majorHAnsi" w:eastAsia="Times New Roman" w:hAnsiTheme="majorHAnsi" w:cs="Arial Narrow"/>
          <w:color w:val="000000"/>
          <w:lang w:eastAsia="it-IT" w:bidi="he-IL"/>
        </w:rPr>
      </w:pP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b/>
          <w:color w:val="000000"/>
          <w:lang w:eastAsia="it-IT" w:bidi="he-IL"/>
        </w:rPr>
        <w:t>Music Up Close Network</w:t>
      </w:r>
      <w:r w:rsidRPr="00456851">
        <w:rPr>
          <w:rFonts w:asciiTheme="majorHAnsi" w:eastAsia="Times New Roman" w:hAnsiTheme="majorHAnsi" w:cs="Arial Narrow"/>
          <w:color w:val="000000"/>
          <w:lang w:eastAsia="it-IT" w:bidi="he-IL"/>
        </w:rPr>
        <w:t xml:space="preserve"> si inserisce perfettamente in questo contesto dinamico puntando a  rafforzare le attività di networking internazionale tra orchestre e a sperimentare e testare buone pratiche e modalità innovative  nel coinvolgimento del pubblico giovanile.</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t xml:space="preserve">  </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t xml:space="preserve">Per raggiungere questi obiettivi, il Progetto è incentrato su due priorità strategiche: </w:t>
      </w:r>
    </w:p>
    <w:p w:rsidR="0071091B" w:rsidRPr="00456851" w:rsidRDefault="0071091B" w:rsidP="0071091B">
      <w:pPr>
        <w:spacing w:after="0" w:line="240" w:lineRule="auto"/>
        <w:jc w:val="both"/>
        <w:rPr>
          <w:rFonts w:asciiTheme="majorHAnsi" w:eastAsia="Times New Roman" w:hAnsiTheme="majorHAnsi" w:cs="Arial Narrow"/>
          <w:color w:val="000000"/>
          <w:lang w:eastAsia="it-IT" w:bidi="he-IL"/>
        </w:rPr>
      </w:pPr>
    </w:p>
    <w:p w:rsidR="0071091B" w:rsidRPr="00456851" w:rsidRDefault="0071091B" w:rsidP="0071091B">
      <w:pPr>
        <w:numPr>
          <w:ilvl w:val="0"/>
          <w:numId w:val="1"/>
        </w:numPr>
        <w:spacing w:after="0" w:line="240" w:lineRule="auto"/>
        <w:contextualSpacing/>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b/>
          <w:color w:val="000000"/>
          <w:lang w:eastAsia="it-IT" w:bidi="he-IL"/>
        </w:rPr>
        <w:t>Mobilità Transnazionale:</w:t>
      </w:r>
      <w:r w:rsidRPr="00456851">
        <w:rPr>
          <w:rFonts w:asciiTheme="majorHAnsi" w:eastAsia="Times New Roman" w:hAnsiTheme="majorHAnsi" w:cs="Arial Narrow"/>
          <w:color w:val="000000"/>
          <w:lang w:eastAsia="it-IT" w:bidi="he-IL"/>
        </w:rPr>
        <w:t xml:space="preserve"> Music Up Close Network mira a rafforzare la mobilità a livello europeo di artisti e professionisti, a consolidare il networking tra orchestre, a promuovere le co-produzioni internazionali  e  a testare format innovativi nelle performance dal vivo di orchestre e cori giovanili.</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p>
    <w:p w:rsidR="0071091B" w:rsidRPr="00456851" w:rsidRDefault="0071091B" w:rsidP="0071091B">
      <w:pPr>
        <w:numPr>
          <w:ilvl w:val="0"/>
          <w:numId w:val="2"/>
        </w:numPr>
        <w:autoSpaceDE w:val="0"/>
        <w:autoSpaceDN w:val="0"/>
        <w:adjustRightInd w:val="0"/>
        <w:spacing w:after="0" w:line="240" w:lineRule="auto"/>
        <w:contextualSpacing/>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b/>
          <w:color w:val="000000"/>
          <w:lang w:eastAsia="it-IT" w:bidi="he-IL"/>
        </w:rPr>
        <w:t>Audience Development:</w:t>
      </w:r>
      <w:r w:rsidRPr="00456851">
        <w:rPr>
          <w:rFonts w:asciiTheme="majorHAnsi" w:eastAsia="Times New Roman" w:hAnsiTheme="majorHAnsi" w:cs="Arial Narrow"/>
          <w:color w:val="000000"/>
          <w:lang w:eastAsia="it-IT" w:bidi="he-IL"/>
        </w:rPr>
        <w:t xml:space="preserve"> il Progetto vuole  sperimentare nuove  strategie e nuove buone pratiche  di coinvolgimento dei giovani e delle categorie deboli nell’ascolto della musica classica e sinfonica. </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t>Ogni anno, fino al 2019, la Fondazione Accademia Nazionale rappresenterà presso l’Auditorium di Santa Cecilia diverse co-produzioni realizzate in networking con altre Orchestre partner di progetto.</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t>Obiettivo principale di questi concerti sarà coinvolgere il pubblico giovanile, in particolare i ragazzi delle scuole elementari, medie e superiori.</w:t>
      </w:r>
    </w:p>
    <w:p w:rsidR="0071091B" w:rsidRPr="00456851" w:rsidRDefault="0071091B" w:rsidP="0071091B">
      <w:pPr>
        <w:autoSpaceDE w:val="0"/>
        <w:autoSpaceDN w:val="0"/>
        <w:adjustRightInd w:val="0"/>
        <w:spacing w:after="0" w:line="240" w:lineRule="auto"/>
        <w:jc w:val="both"/>
        <w:rPr>
          <w:rFonts w:asciiTheme="majorHAnsi" w:eastAsia="Times New Roman" w:hAnsiTheme="majorHAnsi" w:cs="Arial Narrow"/>
          <w:color w:val="000000"/>
          <w:lang w:eastAsia="it-IT" w:bidi="he-IL"/>
        </w:rPr>
      </w:pPr>
      <w:r w:rsidRPr="00456851">
        <w:rPr>
          <w:rFonts w:asciiTheme="majorHAnsi" w:eastAsia="Times New Roman" w:hAnsiTheme="majorHAnsi" w:cs="Arial Narrow"/>
          <w:color w:val="000000"/>
          <w:lang w:eastAsia="it-IT" w:bidi="he-IL"/>
        </w:rPr>
        <w:lastRenderedPageBreak/>
        <w:t>Nell’attività di Comunicazione degli eventi e di coinvolgimento degli Istituti Scolastici, l’Accademia di Santa Cecilia sarà supportata per tu</w:t>
      </w:r>
      <w:r>
        <w:rPr>
          <w:rFonts w:asciiTheme="majorHAnsi" w:eastAsia="Times New Roman" w:hAnsiTheme="majorHAnsi" w:cs="Arial Narrow"/>
          <w:color w:val="000000"/>
          <w:lang w:eastAsia="it-IT" w:bidi="he-IL"/>
        </w:rPr>
        <w:t>tta la durata del Progetto dal partner</w:t>
      </w:r>
      <w:r w:rsidRPr="00456851">
        <w:rPr>
          <w:rFonts w:asciiTheme="majorHAnsi" w:eastAsia="Times New Roman" w:hAnsiTheme="majorHAnsi" w:cs="Arial Narrow"/>
          <w:color w:val="000000"/>
          <w:lang w:eastAsia="it-IT" w:bidi="he-IL"/>
        </w:rPr>
        <w:t xml:space="preserve"> Regione Lazio-Direzione Cultura e Politiche Giovanili.</w:t>
      </w:r>
    </w:p>
    <w:p w:rsidR="0071091B" w:rsidRPr="0071091B" w:rsidRDefault="0071091B" w:rsidP="0071091B">
      <w:pPr>
        <w:spacing w:after="0" w:line="240" w:lineRule="auto"/>
        <w:jc w:val="both"/>
        <w:rPr>
          <w:rFonts w:asciiTheme="majorHAnsi" w:hAnsiTheme="majorHAnsi"/>
          <w:color w:val="002060"/>
        </w:rPr>
      </w:pPr>
    </w:p>
    <w:p w:rsidR="0071091B" w:rsidRPr="0071091B" w:rsidRDefault="0071091B" w:rsidP="0071091B">
      <w:pPr>
        <w:jc w:val="both"/>
        <w:rPr>
          <w:rFonts w:asciiTheme="majorHAnsi" w:hAnsiTheme="majorHAnsi"/>
        </w:rPr>
      </w:pPr>
      <w:r w:rsidRPr="0071091B">
        <w:rPr>
          <w:rFonts w:asciiTheme="majorHAnsi" w:hAnsiTheme="majorHAnsi"/>
        </w:rPr>
        <w:t>La Direzione Cultura e Politiche Giovanili</w:t>
      </w:r>
      <w:r>
        <w:rPr>
          <w:rFonts w:asciiTheme="majorHAnsi" w:hAnsiTheme="majorHAnsi"/>
        </w:rPr>
        <w:t xml:space="preserve"> con l’</w:t>
      </w:r>
      <w:r w:rsidRPr="0071091B">
        <w:rPr>
          <w:rFonts w:asciiTheme="majorHAnsi" w:hAnsiTheme="majorHAnsi"/>
        </w:rPr>
        <w:t>Area Benchmarking Culturale e Qualità contribuirà al raggiungimento degli obiettivi progettuali con le seguenti azioni:</w:t>
      </w:r>
    </w:p>
    <w:p w:rsidR="0071091B" w:rsidRPr="0071091B" w:rsidRDefault="0071091B" w:rsidP="0071091B">
      <w:pPr>
        <w:numPr>
          <w:ilvl w:val="0"/>
          <w:numId w:val="3"/>
        </w:numPr>
        <w:jc w:val="both"/>
        <w:rPr>
          <w:rFonts w:asciiTheme="majorHAnsi" w:hAnsiTheme="majorHAnsi"/>
        </w:rPr>
      </w:pPr>
      <w:r w:rsidRPr="0071091B">
        <w:rPr>
          <w:rFonts w:asciiTheme="majorHAnsi" w:hAnsiTheme="majorHAnsi"/>
        </w:rPr>
        <w:t>supporto alla diffusione e disseminazione delle attività del progetto, attraverso tutti i canali istituzionali a sua disposizione e il coinvolgimento degli stakeholders locali, nazionali e internazionali, della rete delle scuole, università e centri giovanili, anche con la promozione di iniziative come ad esempio Workshop destinati ai giovani;</w:t>
      </w:r>
    </w:p>
    <w:p w:rsidR="0071091B" w:rsidRPr="0071091B" w:rsidRDefault="0071091B" w:rsidP="0071091B">
      <w:pPr>
        <w:numPr>
          <w:ilvl w:val="0"/>
          <w:numId w:val="3"/>
        </w:numPr>
        <w:jc w:val="both"/>
        <w:rPr>
          <w:rFonts w:asciiTheme="majorHAnsi" w:hAnsiTheme="majorHAnsi"/>
        </w:rPr>
      </w:pPr>
      <w:r w:rsidRPr="0071091B">
        <w:rPr>
          <w:rFonts w:asciiTheme="majorHAnsi" w:hAnsiTheme="majorHAnsi"/>
        </w:rPr>
        <w:t>promozione e organizzazione di una Conferenza Internazionale di diffusione dei risultati finali delle attività di cooperazione tra partner e delle innovazioni apportate dal progetto.</w:t>
      </w:r>
    </w:p>
    <w:p w:rsidR="004E4B2A" w:rsidRPr="0071091B" w:rsidRDefault="004E4B2A" w:rsidP="0071091B">
      <w:pPr>
        <w:jc w:val="both"/>
        <w:rPr>
          <w:rFonts w:asciiTheme="majorHAnsi" w:hAnsiTheme="majorHAnsi"/>
        </w:rPr>
      </w:pPr>
    </w:p>
    <w:sectPr w:rsidR="004E4B2A" w:rsidRPr="0071091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FreeSerif">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3592"/>
    <w:multiLevelType w:val="hybridMultilevel"/>
    <w:tmpl w:val="3618A71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
    <w:nsid w:val="3FCF237D"/>
    <w:multiLevelType w:val="hybridMultilevel"/>
    <w:tmpl w:val="749CF0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F4B3F2F"/>
    <w:multiLevelType w:val="hybridMultilevel"/>
    <w:tmpl w:val="55D2DDA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91B"/>
    <w:rsid w:val="004E4B2A"/>
    <w:rsid w:val="0071091B"/>
    <w:rsid w:val="00F519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091B"/>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1091B"/>
    <w:rPr>
      <w:color w:val="0000FF" w:themeColor="hyperlink"/>
      <w:u w:val="single"/>
    </w:rPr>
  </w:style>
  <w:style w:type="character" w:styleId="Collegamentovisitato">
    <w:name w:val="FollowedHyperlink"/>
    <w:basedOn w:val="Carpredefinitoparagrafo"/>
    <w:uiPriority w:val="99"/>
    <w:semiHidden/>
    <w:unhideWhenUsed/>
    <w:rsid w:val="00F519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091B"/>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1091B"/>
    <w:rPr>
      <w:color w:val="0000FF" w:themeColor="hyperlink"/>
      <w:u w:val="single"/>
    </w:rPr>
  </w:style>
  <w:style w:type="character" w:styleId="Collegamentovisitato">
    <w:name w:val="FollowedHyperlink"/>
    <w:basedOn w:val="Carpredefinitoparagrafo"/>
    <w:uiPriority w:val="99"/>
    <w:semiHidden/>
    <w:unhideWhenUsed/>
    <w:rsid w:val="00F519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640</Words>
  <Characters>3652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Fei</dc:creator>
  <cp:lastModifiedBy>Francesca Fei</cp:lastModifiedBy>
  <cp:revision>2</cp:revision>
  <dcterms:created xsi:type="dcterms:W3CDTF">2017-11-14T15:45:00Z</dcterms:created>
  <dcterms:modified xsi:type="dcterms:W3CDTF">2017-11-14T16:04:00Z</dcterms:modified>
</cp:coreProperties>
</file>